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EA22F" w14:textId="77777777" w:rsidR="001D36E4" w:rsidRPr="001D36E4" w:rsidRDefault="001D36E4" w:rsidP="001D36E4">
      <w:pPr>
        <w:spacing w:after="0" w:line="240" w:lineRule="auto"/>
        <w:jc w:val="center"/>
        <w:outlineLvl w:val="0"/>
        <w:rPr>
          <w:rFonts w:ascii="Fira Sans" w:eastAsia="Times New Roman" w:hAnsi="Fira Sans" w:cs="Times New Roman"/>
          <w:b/>
          <w:bCs/>
          <w:color w:val="082A44"/>
          <w:kern w:val="36"/>
          <w:sz w:val="48"/>
          <w:szCs w:val="48"/>
          <w:lang w:eastAsia="fr-FR"/>
          <w14:ligatures w14:val="none"/>
        </w:rPr>
      </w:pPr>
      <w:r w:rsidRPr="001D36E4">
        <w:rPr>
          <w:rFonts w:ascii="Fira Sans" w:eastAsia="Times New Roman" w:hAnsi="Fira Sans" w:cs="Times New Roman"/>
          <w:b/>
          <w:bCs/>
          <w:color w:val="082A44"/>
          <w:kern w:val="36"/>
          <w:sz w:val="48"/>
          <w:szCs w:val="48"/>
          <w:lang w:eastAsia="fr-FR"/>
          <w14:ligatures w14:val="none"/>
        </w:rPr>
        <w:t>Crowdfunding : « les retards de remboursement ont doublé en un an » </w:t>
      </w:r>
    </w:p>
    <w:p w14:paraId="1CF09974" w14:textId="77777777" w:rsidR="001D36E4" w:rsidRPr="001D36E4" w:rsidRDefault="001D36E4" w:rsidP="001D36E4">
      <w:pPr>
        <w:spacing w:before="375" w:after="0" w:line="240" w:lineRule="auto"/>
        <w:jc w:val="center"/>
        <w:rPr>
          <w:rFonts w:ascii="Times New Roman" w:eastAsia="Times New Roman" w:hAnsi="Times New Roman" w:cs="Times New Roman"/>
          <w:kern w:val="0"/>
          <w:sz w:val="24"/>
          <w:szCs w:val="24"/>
          <w:lang w:eastAsia="fr-FR"/>
          <w14:ligatures w14:val="none"/>
        </w:rPr>
      </w:pPr>
      <w:r w:rsidRPr="001D36E4">
        <w:rPr>
          <w:rFonts w:ascii="Fira Sans" w:eastAsia="Times New Roman" w:hAnsi="Fira Sans" w:cs="Times New Roman"/>
          <w:color w:val="082A44"/>
          <w:kern w:val="0"/>
          <w:sz w:val="24"/>
          <w:szCs w:val="24"/>
          <w:lang w:eastAsia="fr-FR"/>
          <w14:ligatures w14:val="none"/>
        </w:rPr>
        <w:t>Trois questions à Guillaume Fonteneau, conseil en gestion de patrimoine indépendant.</w:t>
      </w:r>
    </w:p>
    <w:p w14:paraId="553BA957" w14:textId="77777777" w:rsidR="001D36E4" w:rsidRPr="001D36E4" w:rsidRDefault="001D36E4" w:rsidP="001D36E4">
      <w:pPr>
        <w:spacing w:after="0" w:line="240" w:lineRule="auto"/>
        <w:jc w:val="center"/>
        <w:rPr>
          <w:rFonts w:ascii="Source Sans Pro" w:eastAsia="Times New Roman" w:hAnsi="Source Sans Pro" w:cs="Times New Roman"/>
          <w:color w:val="082A44"/>
          <w:kern w:val="0"/>
          <w:sz w:val="24"/>
          <w:szCs w:val="24"/>
          <w:lang w:eastAsia="fr-FR"/>
          <w14:ligatures w14:val="none"/>
        </w:rPr>
      </w:pPr>
      <w:r w:rsidRPr="001D36E4">
        <w:rPr>
          <w:rFonts w:ascii="Source Sans Pro" w:eastAsia="Times New Roman" w:hAnsi="Source Sans Pro" w:cs="Times New Roman"/>
          <w:color w:val="082A44"/>
          <w:kern w:val="0"/>
          <w:sz w:val="24"/>
          <w:szCs w:val="24"/>
          <w:lang w:eastAsia="fr-FR"/>
          <w14:ligatures w14:val="none"/>
        </w:rPr>
        <w:t>Ajouter à mes articles</w:t>
      </w:r>
    </w:p>
    <w:p w14:paraId="6CDC6344" w14:textId="77777777" w:rsidR="001D36E4" w:rsidRPr="001D36E4" w:rsidRDefault="001D36E4" w:rsidP="001D36E4">
      <w:pPr>
        <w:spacing w:after="0" w:line="240" w:lineRule="auto"/>
        <w:jc w:val="center"/>
        <w:rPr>
          <w:rFonts w:ascii="Source Sans Pro" w:eastAsia="Times New Roman" w:hAnsi="Source Sans Pro" w:cs="Times New Roman"/>
          <w:color w:val="082A44"/>
          <w:kern w:val="0"/>
          <w:sz w:val="24"/>
          <w:szCs w:val="24"/>
          <w:lang w:eastAsia="fr-FR"/>
          <w14:ligatures w14:val="none"/>
        </w:rPr>
      </w:pPr>
      <w:r w:rsidRPr="001D36E4">
        <w:rPr>
          <w:rFonts w:ascii="Source Sans Pro" w:eastAsia="Times New Roman" w:hAnsi="Source Sans Pro" w:cs="Times New Roman"/>
          <w:color w:val="082A44"/>
          <w:kern w:val="0"/>
          <w:sz w:val="24"/>
          <w:szCs w:val="24"/>
          <w:lang w:eastAsia="fr-FR"/>
          <w14:ligatures w14:val="none"/>
        </w:rPr>
        <w:t>Partager</w:t>
      </w:r>
    </w:p>
    <w:p w14:paraId="5DD920C9" w14:textId="77777777" w:rsidR="001D36E4" w:rsidRPr="001D36E4" w:rsidRDefault="001D36E4" w:rsidP="001D36E4">
      <w:pPr>
        <w:spacing w:after="0" w:line="240" w:lineRule="auto"/>
        <w:jc w:val="center"/>
        <w:rPr>
          <w:rFonts w:ascii="Source Sans Pro" w:eastAsia="Times New Roman" w:hAnsi="Source Sans Pro" w:cs="Times New Roman"/>
          <w:color w:val="082A44"/>
          <w:kern w:val="0"/>
          <w:sz w:val="24"/>
          <w:szCs w:val="24"/>
          <w:lang w:eastAsia="fr-FR"/>
          <w14:ligatures w14:val="none"/>
        </w:rPr>
      </w:pPr>
      <w:hyperlink r:id="rId4" w:history="1">
        <w:r w:rsidRPr="001D36E4">
          <w:rPr>
            <w:rFonts w:ascii="Source Sans Pro" w:eastAsia="Times New Roman" w:hAnsi="Source Sans Pro" w:cs="Times New Roman"/>
            <w:color w:val="0000FF"/>
            <w:kern w:val="0"/>
            <w:sz w:val="24"/>
            <w:szCs w:val="24"/>
            <w:u w:val="single"/>
            <w:lang w:eastAsia="fr-FR"/>
            <w14:ligatures w14:val="none"/>
          </w:rPr>
          <w:t>Mieux Vivre Votre Argent</w:t>
        </w:r>
      </w:hyperlink>
    </w:p>
    <w:p w14:paraId="6DCBAD3D" w14:textId="77777777" w:rsidR="001D36E4" w:rsidRPr="001D36E4" w:rsidRDefault="001D36E4" w:rsidP="001D36E4">
      <w:pPr>
        <w:spacing w:after="0" w:line="240" w:lineRule="auto"/>
        <w:jc w:val="center"/>
        <w:rPr>
          <w:rFonts w:ascii="Source Sans Pro" w:eastAsia="Times New Roman" w:hAnsi="Source Sans Pro" w:cs="Times New Roman"/>
          <w:color w:val="082A44"/>
          <w:kern w:val="0"/>
          <w:sz w:val="24"/>
          <w:szCs w:val="24"/>
          <w:lang w:eastAsia="fr-FR"/>
          <w14:ligatures w14:val="none"/>
        </w:rPr>
      </w:pPr>
      <w:hyperlink r:id="rId5" w:history="1">
        <w:r w:rsidRPr="001D36E4">
          <w:rPr>
            <w:rFonts w:ascii="Source Sans Pro" w:eastAsia="Times New Roman" w:hAnsi="Source Sans Pro" w:cs="Times New Roman"/>
            <w:color w:val="0000FF"/>
            <w:kern w:val="0"/>
            <w:sz w:val="24"/>
            <w:szCs w:val="24"/>
            <w:u w:val="single"/>
            <w:lang w:eastAsia="fr-FR"/>
            <w14:ligatures w14:val="none"/>
          </w:rPr>
          <w:t>Investissement alternatif</w:t>
        </w:r>
      </w:hyperlink>
    </w:p>
    <w:p w14:paraId="39C1DE6B" w14:textId="77777777" w:rsidR="001D36E4" w:rsidRPr="001D36E4" w:rsidRDefault="001D36E4" w:rsidP="001D36E4">
      <w:pPr>
        <w:spacing w:after="0" w:line="240" w:lineRule="auto"/>
        <w:rPr>
          <w:rFonts w:ascii="Source Sans Pro" w:eastAsia="Times New Roman" w:hAnsi="Source Sans Pro" w:cs="Times New Roman"/>
          <w:color w:val="082A44"/>
          <w:kern w:val="0"/>
          <w:sz w:val="24"/>
          <w:szCs w:val="24"/>
          <w:lang w:eastAsia="fr-FR"/>
          <w14:ligatures w14:val="none"/>
        </w:rPr>
      </w:pPr>
      <w:r w:rsidRPr="001D36E4">
        <w:rPr>
          <w:rFonts w:ascii="Source Sans Pro" w:eastAsia="Times New Roman" w:hAnsi="Source Sans Pro" w:cs="Times New Roman"/>
          <w:noProof/>
          <w:color w:val="082A44"/>
          <w:kern w:val="0"/>
          <w:sz w:val="24"/>
          <w:szCs w:val="24"/>
          <w:lang w:eastAsia="fr-FR"/>
          <w14:ligatures w14:val="none"/>
        </w:rPr>
        <w:drawing>
          <wp:inline distT="0" distB="0" distL="0" distR="0" wp14:anchorId="5419CAC6" wp14:editId="17A0AC98">
            <wp:extent cx="6094730" cy="3428286"/>
            <wp:effectExtent l="0" t="0" r="127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05809" cy="3434518"/>
                    </a:xfrm>
                    <a:prstGeom prst="rect">
                      <a:avLst/>
                    </a:prstGeom>
                    <a:noFill/>
                    <a:ln>
                      <a:noFill/>
                    </a:ln>
                  </pic:spPr>
                </pic:pic>
              </a:graphicData>
            </a:graphic>
          </wp:inline>
        </w:drawing>
      </w:r>
    </w:p>
    <w:p w14:paraId="5D7E8004" w14:textId="77777777" w:rsidR="001D36E4" w:rsidRPr="001D36E4" w:rsidRDefault="001D36E4" w:rsidP="001D36E4">
      <w:pPr>
        <w:spacing w:after="0" w:line="240" w:lineRule="auto"/>
        <w:rPr>
          <w:rFonts w:ascii="Source Sans Pro" w:eastAsia="Times New Roman" w:hAnsi="Source Sans Pro" w:cs="Times New Roman"/>
          <w:color w:val="082A44"/>
          <w:kern w:val="0"/>
          <w:sz w:val="24"/>
          <w:szCs w:val="24"/>
          <w:lang w:eastAsia="fr-FR"/>
          <w14:ligatures w14:val="none"/>
        </w:rPr>
      </w:pPr>
      <w:r w:rsidRPr="001D36E4">
        <w:rPr>
          <w:rFonts w:ascii="Source Sans Pro" w:eastAsia="Times New Roman" w:hAnsi="Source Sans Pro" w:cs="Times New Roman"/>
          <w:color w:val="082A44"/>
          <w:kern w:val="0"/>
          <w:sz w:val="24"/>
          <w:szCs w:val="24"/>
          <w:lang w:eastAsia="fr-FR"/>
          <w14:ligatures w14:val="none"/>
        </w:rPr>
        <w:t>Guillaume Fonteneau.</w:t>
      </w:r>
    </w:p>
    <w:p w14:paraId="59020ECA" w14:textId="77777777" w:rsidR="001D36E4" w:rsidRPr="001D36E4" w:rsidRDefault="001D36E4" w:rsidP="001D36E4">
      <w:pPr>
        <w:spacing w:before="100" w:beforeAutospacing="1" w:after="100" w:afterAutospacing="1" w:line="240" w:lineRule="auto"/>
        <w:rPr>
          <w:rFonts w:ascii="Source Sans Pro" w:eastAsia="Times New Roman" w:hAnsi="Source Sans Pro" w:cs="Times New Roman"/>
          <w:b/>
          <w:bCs/>
          <w:color w:val="082A44"/>
          <w:kern w:val="0"/>
          <w:sz w:val="24"/>
          <w:szCs w:val="24"/>
          <w:lang w:eastAsia="fr-FR"/>
          <w14:ligatures w14:val="none"/>
        </w:rPr>
      </w:pPr>
      <w:r w:rsidRPr="001D36E4">
        <w:rPr>
          <w:rFonts w:ascii="Source Sans Pro" w:eastAsia="Times New Roman" w:hAnsi="Source Sans Pro" w:cs="Times New Roman"/>
          <w:b/>
          <w:bCs/>
          <w:color w:val="082A44"/>
          <w:kern w:val="0"/>
          <w:sz w:val="24"/>
          <w:szCs w:val="24"/>
          <w:lang w:eastAsia="fr-FR"/>
          <w14:ligatures w14:val="none"/>
        </w:rPr>
        <w:t>Par </w:t>
      </w:r>
      <w:hyperlink r:id="rId7" w:history="1">
        <w:r w:rsidRPr="001D36E4">
          <w:rPr>
            <w:rFonts w:ascii="Source Sans Pro" w:eastAsia="Times New Roman" w:hAnsi="Source Sans Pro" w:cs="Times New Roman"/>
            <w:b/>
            <w:bCs/>
            <w:color w:val="0000FF"/>
            <w:kern w:val="0"/>
            <w:sz w:val="24"/>
            <w:szCs w:val="24"/>
            <w:u w:val="single"/>
            <w:lang w:eastAsia="fr-FR"/>
            <w14:ligatures w14:val="none"/>
          </w:rPr>
          <w:t>Aymeric Val</w:t>
        </w:r>
      </w:hyperlink>
    </w:p>
    <w:p w14:paraId="3EFE4675" w14:textId="0A0A0E73" w:rsidR="001D36E4" w:rsidRPr="001D36E4" w:rsidRDefault="001D36E4" w:rsidP="001D36E4">
      <w:pPr>
        <w:spacing w:line="240" w:lineRule="auto"/>
        <w:rPr>
          <w:rFonts w:ascii="Source Sans Pro" w:eastAsia="Times New Roman" w:hAnsi="Source Sans Pro" w:cs="Times New Roman"/>
          <w:color w:val="082A44"/>
          <w:kern w:val="0"/>
          <w:sz w:val="24"/>
          <w:szCs w:val="24"/>
          <w:lang w:eastAsia="fr-FR"/>
          <w14:ligatures w14:val="none"/>
        </w:rPr>
      </w:pPr>
      <w:r w:rsidRPr="001D36E4">
        <w:rPr>
          <w:rFonts w:ascii="Source Sans Pro" w:eastAsia="Times New Roman" w:hAnsi="Source Sans Pro" w:cs="Times New Roman"/>
          <w:color w:val="082A44"/>
          <w:kern w:val="0"/>
          <w:sz w:val="24"/>
          <w:szCs w:val="24"/>
          <w:lang w:eastAsia="fr-FR"/>
          <w14:ligatures w14:val="none"/>
        </w:rPr>
        <w:t xml:space="preserve">Publié le 9 janv. 2024 à </w:t>
      </w:r>
      <w:proofErr w:type="gramStart"/>
      <w:r w:rsidRPr="001D36E4">
        <w:rPr>
          <w:rFonts w:ascii="Source Sans Pro" w:eastAsia="Times New Roman" w:hAnsi="Source Sans Pro" w:cs="Times New Roman"/>
          <w:color w:val="082A44"/>
          <w:kern w:val="0"/>
          <w:sz w:val="24"/>
          <w:szCs w:val="24"/>
          <w:lang w:eastAsia="fr-FR"/>
          <w14:ligatures w14:val="none"/>
        </w:rPr>
        <w:t>9:</w:t>
      </w:r>
      <w:proofErr w:type="gramEnd"/>
      <w:r w:rsidRPr="001D36E4">
        <w:rPr>
          <w:rFonts w:ascii="Source Sans Pro" w:eastAsia="Times New Roman" w:hAnsi="Source Sans Pro" w:cs="Times New Roman"/>
          <w:color w:val="082A44"/>
          <w:kern w:val="0"/>
          <w:sz w:val="24"/>
          <w:szCs w:val="24"/>
          <w:lang w:eastAsia="fr-FR"/>
          <w14:ligatures w14:val="none"/>
        </w:rPr>
        <w:t>35</w:t>
      </w:r>
      <w:r>
        <w:rPr>
          <w:rFonts w:ascii="Source Sans Pro" w:eastAsia="Times New Roman" w:hAnsi="Source Sans Pro" w:cs="Times New Roman"/>
          <w:color w:val="082A44"/>
          <w:kern w:val="0"/>
          <w:sz w:val="24"/>
          <w:szCs w:val="24"/>
          <w:lang w:eastAsia="fr-FR"/>
          <w14:ligatures w14:val="none"/>
        </w:rPr>
        <w:t xml:space="preserve"> </w:t>
      </w:r>
      <w:r w:rsidRPr="001D36E4">
        <w:rPr>
          <w:rFonts w:ascii="Source Sans Pro" w:eastAsia="Times New Roman" w:hAnsi="Source Sans Pro" w:cs="Times New Roman"/>
          <w:color w:val="082A44"/>
          <w:kern w:val="0"/>
          <w:sz w:val="24"/>
          <w:szCs w:val="24"/>
          <w:lang w:eastAsia="fr-FR"/>
          <w14:ligatures w14:val="none"/>
        </w:rPr>
        <w:t>Mis à jour le 9 janv. 2024 à 9:38</w:t>
      </w:r>
    </w:p>
    <w:p w14:paraId="3BE1BFA2" w14:textId="77777777" w:rsidR="001D36E4" w:rsidRPr="001D36E4" w:rsidRDefault="001D36E4" w:rsidP="001D36E4">
      <w:pPr>
        <w:spacing w:after="0" w:line="240" w:lineRule="auto"/>
        <w:rPr>
          <w:rFonts w:ascii="Source Sans Pro" w:eastAsia="Times New Roman" w:hAnsi="Source Sans Pro" w:cs="Times New Roman"/>
          <w:color w:val="082A44"/>
          <w:kern w:val="0"/>
          <w:sz w:val="24"/>
          <w:szCs w:val="24"/>
          <w:lang w:eastAsia="fr-FR"/>
          <w14:ligatures w14:val="none"/>
        </w:rPr>
      </w:pPr>
      <w:r w:rsidRPr="001D36E4">
        <w:rPr>
          <w:rFonts w:ascii="Source Sans Pro" w:eastAsia="Times New Roman" w:hAnsi="Source Sans Pro" w:cs="Times New Roman"/>
          <w:b/>
          <w:bCs/>
          <w:color w:val="082A44"/>
          <w:kern w:val="0"/>
          <w:sz w:val="24"/>
          <w:szCs w:val="24"/>
          <w:lang w:eastAsia="fr-FR"/>
          <w14:ligatures w14:val="none"/>
        </w:rPr>
        <w:t>Quel jugement portez-vous sur le crowdfunding ?</w:t>
      </w:r>
    </w:p>
    <w:p w14:paraId="5E818E7B" w14:textId="77777777" w:rsidR="001D36E4" w:rsidRPr="001D36E4" w:rsidRDefault="001D36E4" w:rsidP="001D36E4">
      <w:pPr>
        <w:spacing w:before="300" w:after="0" w:line="240" w:lineRule="auto"/>
        <w:rPr>
          <w:rFonts w:ascii="Source Sans Pro" w:eastAsia="Times New Roman" w:hAnsi="Source Sans Pro" w:cs="Times New Roman"/>
          <w:color w:val="082A44"/>
          <w:kern w:val="0"/>
          <w:sz w:val="24"/>
          <w:szCs w:val="24"/>
          <w:lang w:eastAsia="fr-FR"/>
          <w14:ligatures w14:val="none"/>
        </w:rPr>
      </w:pPr>
      <w:r w:rsidRPr="001D36E4">
        <w:rPr>
          <w:rFonts w:ascii="Source Sans Pro" w:eastAsia="Times New Roman" w:hAnsi="Source Sans Pro" w:cs="Times New Roman"/>
          <w:color w:val="082A44"/>
          <w:kern w:val="0"/>
          <w:sz w:val="24"/>
          <w:szCs w:val="24"/>
          <w:lang w:eastAsia="fr-FR"/>
          <w14:ligatures w14:val="none"/>
        </w:rPr>
        <w:t>Derrière ce placement se cache une idée brillante : celle de permettre à l’épargne des Français de financer directement l’économie réelle, et notamment les TPE et PME, avec une rémunération attrayante. Mais en pratique, les garanties offertes aux particuliers sur ces prêts participatifs sont souvent trop faibles. Il faut comprendre que les promoteurs et marchands de biens qui se financent sur plateformes de crowdfunding immobilier le font par défaut. Sans cette béquille, ces opérateurs ne trouveraient pas de fonds pour mener à bien leurs projets.</w:t>
      </w:r>
    </w:p>
    <w:p w14:paraId="28C7C7F9" w14:textId="77777777" w:rsidR="001D36E4" w:rsidRDefault="001D36E4" w:rsidP="001D36E4">
      <w:pPr>
        <w:spacing w:before="300" w:after="0" w:line="240" w:lineRule="auto"/>
        <w:rPr>
          <w:rFonts w:ascii="Source Sans Pro" w:eastAsia="Times New Roman" w:hAnsi="Source Sans Pro" w:cs="Times New Roman"/>
          <w:b/>
          <w:bCs/>
          <w:color w:val="082A44"/>
          <w:kern w:val="0"/>
          <w:sz w:val="24"/>
          <w:szCs w:val="24"/>
          <w:lang w:eastAsia="fr-FR"/>
          <w14:ligatures w14:val="none"/>
        </w:rPr>
      </w:pPr>
    </w:p>
    <w:p w14:paraId="2B43DC5A" w14:textId="3ED91357" w:rsidR="001D36E4" w:rsidRPr="001D36E4" w:rsidRDefault="001D36E4" w:rsidP="001D36E4">
      <w:pPr>
        <w:spacing w:before="300" w:after="0" w:line="240" w:lineRule="auto"/>
        <w:rPr>
          <w:rFonts w:ascii="Source Sans Pro" w:eastAsia="Times New Roman" w:hAnsi="Source Sans Pro" w:cs="Times New Roman"/>
          <w:color w:val="082A44"/>
          <w:kern w:val="0"/>
          <w:sz w:val="24"/>
          <w:szCs w:val="24"/>
          <w:lang w:eastAsia="fr-FR"/>
          <w14:ligatures w14:val="none"/>
        </w:rPr>
      </w:pPr>
      <w:r w:rsidRPr="001D36E4">
        <w:rPr>
          <w:rFonts w:ascii="Source Sans Pro" w:eastAsia="Times New Roman" w:hAnsi="Source Sans Pro" w:cs="Times New Roman"/>
          <w:b/>
          <w:bCs/>
          <w:color w:val="082A44"/>
          <w:kern w:val="0"/>
          <w:sz w:val="24"/>
          <w:szCs w:val="24"/>
          <w:lang w:eastAsia="fr-FR"/>
          <w14:ligatures w14:val="none"/>
        </w:rPr>
        <w:lastRenderedPageBreak/>
        <w:t>La rentabilité proposée vous semble-t-elle insuffisante ?</w:t>
      </w:r>
    </w:p>
    <w:p w14:paraId="6569301A" w14:textId="77777777" w:rsidR="001D36E4" w:rsidRPr="001D36E4" w:rsidRDefault="001D36E4" w:rsidP="001D36E4">
      <w:pPr>
        <w:spacing w:before="300" w:after="0" w:line="240" w:lineRule="auto"/>
        <w:rPr>
          <w:rFonts w:ascii="Source Sans Pro" w:eastAsia="Times New Roman" w:hAnsi="Source Sans Pro" w:cs="Times New Roman"/>
          <w:color w:val="082A44"/>
          <w:kern w:val="0"/>
          <w:sz w:val="24"/>
          <w:szCs w:val="24"/>
          <w:lang w:eastAsia="fr-FR"/>
          <w14:ligatures w14:val="none"/>
        </w:rPr>
      </w:pPr>
      <w:r w:rsidRPr="001D36E4">
        <w:rPr>
          <w:rFonts w:ascii="Source Sans Pro" w:eastAsia="Times New Roman" w:hAnsi="Source Sans Pro" w:cs="Times New Roman"/>
          <w:color w:val="082A44"/>
          <w:kern w:val="0"/>
          <w:sz w:val="24"/>
          <w:szCs w:val="24"/>
          <w:lang w:eastAsia="fr-FR"/>
          <w14:ligatures w14:val="none"/>
        </w:rPr>
        <w:t>La rémunération moyenne des prêts se situe autour de 10 %. Mais la fiscalité écorne ces revenus, qui sont soumis au prélèvement forfaitaire unique de 30 %. Le rendement net avoisine donc 7 %. Au regard du niveau de l’inflation et de la dégradation conjoncturelle, la prime de risque proposée par le crowdfunding est insuffisante.</w:t>
      </w:r>
    </w:p>
    <w:p w14:paraId="0F673342" w14:textId="77777777" w:rsidR="001D36E4" w:rsidRPr="001D36E4" w:rsidRDefault="001D36E4" w:rsidP="001D36E4">
      <w:pPr>
        <w:spacing w:before="300" w:after="0" w:line="240" w:lineRule="auto"/>
        <w:rPr>
          <w:rFonts w:ascii="Source Sans Pro" w:eastAsia="Times New Roman" w:hAnsi="Source Sans Pro" w:cs="Times New Roman"/>
          <w:color w:val="082A44"/>
          <w:kern w:val="0"/>
          <w:sz w:val="24"/>
          <w:szCs w:val="24"/>
          <w:lang w:eastAsia="fr-FR"/>
          <w14:ligatures w14:val="none"/>
        </w:rPr>
      </w:pPr>
      <w:r w:rsidRPr="001D36E4">
        <w:rPr>
          <w:rFonts w:ascii="Source Sans Pro" w:eastAsia="Times New Roman" w:hAnsi="Source Sans Pro" w:cs="Times New Roman"/>
          <w:b/>
          <w:bCs/>
          <w:color w:val="082A44"/>
          <w:kern w:val="0"/>
          <w:sz w:val="24"/>
          <w:szCs w:val="24"/>
          <w:lang w:eastAsia="fr-FR"/>
          <w14:ligatures w14:val="none"/>
        </w:rPr>
        <w:t>Le contexte dans le neuf s’est durci, qu'en pensez-vous ?</w:t>
      </w:r>
    </w:p>
    <w:p w14:paraId="05262E57" w14:textId="77777777" w:rsidR="001D36E4" w:rsidRPr="001D36E4" w:rsidRDefault="001D36E4" w:rsidP="001D36E4">
      <w:pPr>
        <w:spacing w:before="300" w:after="0" w:line="240" w:lineRule="auto"/>
        <w:rPr>
          <w:rFonts w:ascii="Source Sans Pro" w:eastAsia="Times New Roman" w:hAnsi="Source Sans Pro" w:cs="Times New Roman"/>
          <w:color w:val="082A44"/>
          <w:kern w:val="0"/>
          <w:sz w:val="24"/>
          <w:szCs w:val="24"/>
          <w:lang w:eastAsia="fr-FR"/>
          <w14:ligatures w14:val="none"/>
        </w:rPr>
      </w:pPr>
      <w:r w:rsidRPr="001D36E4">
        <w:rPr>
          <w:rFonts w:ascii="Source Sans Pro" w:eastAsia="Times New Roman" w:hAnsi="Source Sans Pro" w:cs="Times New Roman"/>
          <w:color w:val="082A44"/>
          <w:kern w:val="0"/>
          <w:sz w:val="24"/>
          <w:szCs w:val="24"/>
          <w:lang w:eastAsia="fr-FR"/>
          <w14:ligatures w14:val="none"/>
        </w:rPr>
        <w:t xml:space="preserve">C’est même un euphémisme. Les promoteurs font face à une conjonction exceptionnelle de facteurs défavorables : l’arrêt du Pinel, l’objectif de « </w:t>
      </w:r>
      <w:proofErr w:type="spellStart"/>
      <w:r w:rsidRPr="001D36E4">
        <w:rPr>
          <w:rFonts w:ascii="Source Sans Pro" w:eastAsia="Times New Roman" w:hAnsi="Source Sans Pro" w:cs="Times New Roman"/>
          <w:color w:val="082A44"/>
          <w:kern w:val="0"/>
          <w:sz w:val="24"/>
          <w:szCs w:val="24"/>
          <w:lang w:eastAsia="fr-FR"/>
          <w14:ligatures w14:val="none"/>
        </w:rPr>
        <w:t>zero</w:t>
      </w:r>
      <w:proofErr w:type="spellEnd"/>
      <w:r w:rsidRPr="001D36E4">
        <w:rPr>
          <w:rFonts w:ascii="Source Sans Pro" w:eastAsia="Times New Roman" w:hAnsi="Source Sans Pro" w:cs="Times New Roman"/>
          <w:color w:val="082A44"/>
          <w:kern w:val="0"/>
          <w:sz w:val="24"/>
          <w:szCs w:val="24"/>
          <w:lang w:eastAsia="fr-FR"/>
          <w14:ligatures w14:val="none"/>
        </w:rPr>
        <w:t xml:space="preserve"> artificialisation nette » à horizon 2050, les coûts de construction élevés, la baisse de pouvoir d’achat des investisseurs… Certains petits promoteurs mettent déjà la clé sous la porte. Et ce n’est pas fini ! Je note que, sur le crowdfunding immobilier, le taux de retard des remboursements est passé de 11,8 % à la fin de 2022 à 20,5 % aujourd’hui.</w:t>
      </w:r>
    </w:p>
    <w:p w14:paraId="24CC7E66" w14:textId="77777777" w:rsidR="001D36E4" w:rsidRPr="001D36E4" w:rsidRDefault="001D36E4" w:rsidP="001D36E4">
      <w:pPr>
        <w:spacing w:before="375" w:after="0" w:line="240" w:lineRule="auto"/>
        <w:jc w:val="right"/>
        <w:rPr>
          <w:rFonts w:ascii="Source Sans Pro" w:eastAsia="Times New Roman" w:hAnsi="Source Sans Pro" w:cs="Times New Roman"/>
          <w:b/>
          <w:bCs/>
          <w:color w:val="082A44"/>
          <w:kern w:val="0"/>
          <w:sz w:val="24"/>
          <w:szCs w:val="24"/>
          <w:lang w:eastAsia="fr-FR"/>
          <w14:ligatures w14:val="none"/>
        </w:rPr>
      </w:pPr>
      <w:r w:rsidRPr="001D36E4">
        <w:rPr>
          <w:rFonts w:ascii="Source Sans Pro" w:eastAsia="Times New Roman" w:hAnsi="Source Sans Pro" w:cs="Times New Roman"/>
          <w:b/>
          <w:bCs/>
          <w:color w:val="082A44"/>
          <w:kern w:val="0"/>
          <w:sz w:val="24"/>
          <w:szCs w:val="24"/>
          <w:lang w:eastAsia="fr-FR"/>
          <w14:ligatures w14:val="none"/>
        </w:rPr>
        <w:t>Propos recueillis par Aymeric Val</w:t>
      </w:r>
    </w:p>
    <w:p w14:paraId="33B0CF72" w14:textId="77777777" w:rsidR="0034367B" w:rsidRDefault="0034367B"/>
    <w:sectPr w:rsidR="003436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6E4"/>
    <w:rsid w:val="001D36E4"/>
    <w:rsid w:val="003436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498E5"/>
  <w15:chartTrackingRefBased/>
  <w15:docId w15:val="{62929D95-70D1-4D39-A1C2-18160D3E2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291389">
      <w:bodyDiv w:val="1"/>
      <w:marLeft w:val="0"/>
      <w:marRight w:val="0"/>
      <w:marTop w:val="0"/>
      <w:marBottom w:val="0"/>
      <w:divBdr>
        <w:top w:val="none" w:sz="0" w:space="0" w:color="auto"/>
        <w:left w:val="none" w:sz="0" w:space="0" w:color="auto"/>
        <w:bottom w:val="none" w:sz="0" w:space="0" w:color="auto"/>
        <w:right w:val="none" w:sz="0" w:space="0" w:color="auto"/>
      </w:divBdr>
      <w:divsChild>
        <w:div w:id="1473600916">
          <w:marLeft w:val="0"/>
          <w:marRight w:val="0"/>
          <w:marTop w:val="0"/>
          <w:marBottom w:val="0"/>
          <w:divBdr>
            <w:top w:val="none" w:sz="0" w:space="0" w:color="auto"/>
            <w:left w:val="none" w:sz="0" w:space="0" w:color="auto"/>
            <w:bottom w:val="none" w:sz="0" w:space="0" w:color="auto"/>
            <w:right w:val="none" w:sz="0" w:space="0" w:color="auto"/>
          </w:divBdr>
          <w:divsChild>
            <w:div w:id="1970043087">
              <w:marLeft w:val="0"/>
              <w:marRight w:val="0"/>
              <w:marTop w:val="450"/>
              <w:marBottom w:val="0"/>
              <w:divBdr>
                <w:top w:val="none" w:sz="0" w:space="0" w:color="auto"/>
                <w:left w:val="none" w:sz="0" w:space="0" w:color="auto"/>
                <w:bottom w:val="none" w:sz="0" w:space="0" w:color="auto"/>
                <w:right w:val="none" w:sz="0" w:space="0" w:color="auto"/>
              </w:divBdr>
              <w:divsChild>
                <w:div w:id="79450347">
                  <w:marLeft w:val="0"/>
                  <w:marRight w:val="0"/>
                  <w:marTop w:val="0"/>
                  <w:marBottom w:val="0"/>
                  <w:divBdr>
                    <w:top w:val="none" w:sz="0" w:space="0" w:color="auto"/>
                    <w:left w:val="none" w:sz="0" w:space="0" w:color="auto"/>
                    <w:bottom w:val="none" w:sz="0" w:space="0" w:color="auto"/>
                    <w:right w:val="none" w:sz="0" w:space="0" w:color="auto"/>
                  </w:divBdr>
                  <w:divsChild>
                    <w:div w:id="189060828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900929">
          <w:marLeft w:val="0"/>
          <w:marRight w:val="0"/>
          <w:marTop w:val="0"/>
          <w:marBottom w:val="0"/>
          <w:divBdr>
            <w:top w:val="none" w:sz="0" w:space="0" w:color="auto"/>
            <w:left w:val="none" w:sz="0" w:space="0" w:color="auto"/>
            <w:bottom w:val="none" w:sz="0" w:space="0" w:color="auto"/>
            <w:right w:val="none" w:sz="0" w:space="0" w:color="auto"/>
          </w:divBdr>
          <w:divsChild>
            <w:div w:id="442842780">
              <w:marLeft w:val="0"/>
              <w:marRight w:val="0"/>
              <w:marTop w:val="0"/>
              <w:marBottom w:val="0"/>
              <w:divBdr>
                <w:top w:val="none" w:sz="0" w:space="0" w:color="auto"/>
                <w:left w:val="none" w:sz="0" w:space="0" w:color="auto"/>
                <w:bottom w:val="none" w:sz="0" w:space="0" w:color="auto"/>
                <w:right w:val="none" w:sz="0" w:space="0" w:color="auto"/>
              </w:divBdr>
              <w:divsChild>
                <w:div w:id="450055067">
                  <w:marLeft w:val="0"/>
                  <w:marRight w:val="0"/>
                  <w:marTop w:val="0"/>
                  <w:marBottom w:val="0"/>
                  <w:divBdr>
                    <w:top w:val="none" w:sz="0" w:space="0" w:color="auto"/>
                    <w:left w:val="none" w:sz="0" w:space="0" w:color="auto"/>
                    <w:bottom w:val="none" w:sz="0" w:space="0" w:color="auto"/>
                    <w:right w:val="none" w:sz="0" w:space="0" w:color="auto"/>
                  </w:divBdr>
                </w:div>
              </w:divsChild>
            </w:div>
            <w:div w:id="2082409164">
              <w:marLeft w:val="0"/>
              <w:marRight w:val="0"/>
              <w:marTop w:val="0"/>
              <w:marBottom w:val="0"/>
              <w:divBdr>
                <w:top w:val="none" w:sz="0" w:space="0" w:color="auto"/>
                <w:left w:val="none" w:sz="0" w:space="0" w:color="auto"/>
                <w:bottom w:val="none" w:sz="0" w:space="0" w:color="auto"/>
                <w:right w:val="none" w:sz="0" w:space="0" w:color="auto"/>
              </w:divBdr>
              <w:divsChild>
                <w:div w:id="887228833">
                  <w:marLeft w:val="0"/>
                  <w:marRight w:val="0"/>
                  <w:marTop w:val="0"/>
                  <w:marBottom w:val="0"/>
                  <w:divBdr>
                    <w:top w:val="none" w:sz="0" w:space="0" w:color="auto"/>
                    <w:left w:val="none" w:sz="0" w:space="0" w:color="auto"/>
                    <w:bottom w:val="none" w:sz="0" w:space="0" w:color="auto"/>
                    <w:right w:val="none" w:sz="0" w:space="0" w:color="auto"/>
                  </w:divBdr>
                  <w:divsChild>
                    <w:div w:id="1504390001">
                      <w:marLeft w:val="0"/>
                      <w:marRight w:val="0"/>
                      <w:marTop w:val="0"/>
                      <w:marBottom w:val="0"/>
                      <w:divBdr>
                        <w:top w:val="none" w:sz="0" w:space="0" w:color="auto"/>
                        <w:left w:val="none" w:sz="0" w:space="0" w:color="auto"/>
                        <w:bottom w:val="none" w:sz="0" w:space="0" w:color="auto"/>
                        <w:right w:val="none" w:sz="0" w:space="0" w:color="auto"/>
                      </w:divBdr>
                      <w:divsChild>
                        <w:div w:id="129440359">
                          <w:marLeft w:val="0"/>
                          <w:marRight w:val="0"/>
                          <w:marTop w:val="0"/>
                          <w:marBottom w:val="375"/>
                          <w:divBdr>
                            <w:top w:val="none" w:sz="0" w:space="0" w:color="auto"/>
                            <w:left w:val="none" w:sz="0" w:space="0" w:color="auto"/>
                            <w:bottom w:val="none" w:sz="0" w:space="0" w:color="auto"/>
                            <w:right w:val="none" w:sz="0" w:space="0" w:color="auto"/>
                          </w:divBdr>
                        </w:div>
                        <w:div w:id="15778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nvestir.lesechos.fr/@aymeric-v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investir.lesechos.fr/placements/investissement-alternatif" TargetMode="External"/><Relationship Id="rId4" Type="http://schemas.openxmlformats.org/officeDocument/2006/relationships/hyperlink" Target="https://investir.lesechos.fr/budget/pouvoir-dachat/mieux-vivre-votre-argent"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1821</Characters>
  <Application>Microsoft Office Word</Application>
  <DocSecurity>0</DocSecurity>
  <Lines>15</Lines>
  <Paragraphs>4</Paragraphs>
  <ScaleCrop>false</ScaleCrop>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JOSEPH</dc:creator>
  <cp:keywords/>
  <dc:description/>
  <cp:lastModifiedBy>Jonathan JOSEPH</cp:lastModifiedBy>
  <cp:revision>1</cp:revision>
  <dcterms:created xsi:type="dcterms:W3CDTF">2024-01-10T15:17:00Z</dcterms:created>
  <dcterms:modified xsi:type="dcterms:W3CDTF">2024-01-10T15:18:00Z</dcterms:modified>
</cp:coreProperties>
</file>